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632" w:rsidRDefault="00314632">
      <w:pPr>
        <w:spacing w:line="600" w:lineRule="exact"/>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南平市科协收支业务管理制度</w:t>
      </w:r>
      <w:r>
        <w:rPr>
          <w:rFonts w:ascii="方正小标宋简体" w:eastAsia="方正小标宋简体" w:hAnsi="方正小标宋简体" w:cs="方正小标宋简体"/>
          <w:sz w:val="36"/>
          <w:szCs w:val="36"/>
        </w:rPr>
        <w:t>(</w:t>
      </w:r>
      <w:r>
        <w:rPr>
          <w:rFonts w:ascii="方正小标宋简体" w:eastAsia="方正小标宋简体" w:hAnsi="方正小标宋简体" w:cs="方正小标宋简体" w:hint="eastAsia"/>
          <w:sz w:val="36"/>
          <w:szCs w:val="36"/>
        </w:rPr>
        <w:t>试行</w:t>
      </w:r>
      <w:r>
        <w:rPr>
          <w:rFonts w:ascii="方正小标宋简体" w:eastAsia="方正小标宋简体" w:hAnsi="方正小标宋简体" w:cs="方正小标宋简体"/>
          <w:sz w:val="36"/>
          <w:szCs w:val="36"/>
        </w:rPr>
        <w:t>)</w:t>
      </w:r>
    </w:p>
    <w:p w:rsidR="00314632" w:rsidRDefault="00314632">
      <w:pPr>
        <w:spacing w:line="600" w:lineRule="exact"/>
        <w:jc w:val="center"/>
        <w:rPr>
          <w:rFonts w:ascii="方正小标宋简体" w:eastAsia="方正小标宋简体" w:hAnsi="方正小标宋简体" w:cs="方正小标宋简体"/>
          <w:sz w:val="36"/>
          <w:szCs w:val="36"/>
        </w:rPr>
      </w:pPr>
    </w:p>
    <w:p w:rsidR="00314632" w:rsidRDefault="00314632">
      <w:pPr>
        <w:spacing w:line="600" w:lineRule="exact"/>
        <w:jc w:val="center"/>
        <w:rPr>
          <w:rFonts w:ascii="黑体" w:eastAsia="黑体" w:hAnsi="黑体" w:cs="Times New Roman"/>
          <w:sz w:val="32"/>
          <w:szCs w:val="32"/>
        </w:rPr>
      </w:pPr>
      <w:r>
        <w:rPr>
          <w:rFonts w:ascii="黑体" w:eastAsia="黑体" w:hAnsi="黑体" w:cs="黑体" w:hint="eastAsia"/>
          <w:sz w:val="32"/>
          <w:szCs w:val="32"/>
        </w:rPr>
        <w:t>第一章</w:t>
      </w:r>
      <w:r>
        <w:rPr>
          <w:rFonts w:ascii="黑体" w:eastAsia="黑体" w:hAnsi="黑体" w:cs="黑体"/>
          <w:sz w:val="32"/>
          <w:szCs w:val="32"/>
        </w:rPr>
        <w:t xml:space="preserve">  </w:t>
      </w:r>
      <w:r>
        <w:rPr>
          <w:rFonts w:ascii="黑体" w:eastAsia="黑体" w:hAnsi="黑体" w:cs="黑体" w:hint="eastAsia"/>
          <w:sz w:val="32"/>
          <w:szCs w:val="32"/>
        </w:rPr>
        <w:t>总</w:t>
      </w:r>
      <w:r>
        <w:rPr>
          <w:rFonts w:ascii="黑体" w:eastAsia="黑体" w:hAnsi="黑体" w:cs="黑体"/>
          <w:sz w:val="32"/>
          <w:szCs w:val="32"/>
        </w:rPr>
        <w:t xml:space="preserve">    </w:t>
      </w:r>
      <w:r>
        <w:rPr>
          <w:rFonts w:ascii="黑体" w:eastAsia="黑体" w:hAnsi="黑体" w:cs="黑体" w:hint="eastAsia"/>
          <w:sz w:val="32"/>
          <w:szCs w:val="32"/>
        </w:rPr>
        <w:t>则</w:t>
      </w:r>
    </w:p>
    <w:p w:rsidR="00314632" w:rsidRDefault="00314632">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第一条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为了加强收支业务管理工作，强化廉政风险防控机制建设，根据《中华人民共和国预算法》和《行政事业单位内部控制规范（试行）》等有关法律法规规定，制定本制度。</w:t>
      </w:r>
    </w:p>
    <w:p w:rsidR="00314632" w:rsidRDefault="00314632">
      <w:pPr>
        <w:spacing w:line="600" w:lineRule="exact"/>
        <w:jc w:val="center"/>
        <w:rPr>
          <w:rFonts w:ascii="黑体" w:eastAsia="黑体" w:hAnsi="黑体" w:cs="Times New Roman"/>
          <w:sz w:val="32"/>
          <w:szCs w:val="32"/>
        </w:rPr>
      </w:pPr>
      <w:r>
        <w:rPr>
          <w:rFonts w:ascii="黑体" w:eastAsia="黑体" w:hAnsi="黑体" w:cs="黑体" w:hint="eastAsia"/>
          <w:sz w:val="32"/>
          <w:szCs w:val="32"/>
        </w:rPr>
        <w:t>第二章</w:t>
      </w:r>
      <w:r>
        <w:rPr>
          <w:rFonts w:ascii="黑体" w:eastAsia="黑体" w:hAnsi="黑体" w:cs="黑体"/>
          <w:sz w:val="32"/>
          <w:szCs w:val="32"/>
        </w:rPr>
        <w:t xml:space="preserve">  </w:t>
      </w:r>
      <w:r>
        <w:rPr>
          <w:rFonts w:ascii="黑体" w:eastAsia="黑体" w:hAnsi="黑体" w:cs="黑体" w:hint="eastAsia"/>
          <w:sz w:val="32"/>
          <w:szCs w:val="32"/>
        </w:rPr>
        <w:t>收入管理</w:t>
      </w:r>
    </w:p>
    <w:p w:rsidR="00314632" w:rsidRDefault="00314632">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第二条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收入是指行政单位依法取得的非偿还性资金，</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包括财政拨款收入、其他收入。</w:t>
      </w:r>
    </w:p>
    <w:p w:rsidR="00314632" w:rsidRDefault="00314632">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第三条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积极组织收入。各项收入应全部纳入单位预算编制范围，全面真实反映单位实际收入情况。</w:t>
      </w:r>
    </w:p>
    <w:p w:rsidR="00314632" w:rsidRDefault="00314632">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第四条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加强收入管理。各项收入由计划财务科归口管理并进行会计核算，其他部门和个人不得办理收款业务，严禁设立账外账和“小金库”。</w:t>
      </w:r>
    </w:p>
    <w:p w:rsidR="00314632" w:rsidRDefault="00314632">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（一）严格执行“收支两条线”管理规定。非税收入开具财政收款票据，做到收缴分离、票款一致，并及时足额上缴国库或财政专户，不得以任何形式截留、挪用或者私分。</w:t>
      </w:r>
    </w:p>
    <w:p w:rsidR="00314632" w:rsidRDefault="00314632">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（二）签订的收入合同，需交财务做为账务处理的依据。</w:t>
      </w:r>
    </w:p>
    <w:p w:rsidR="00314632" w:rsidRDefault="00314632">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（三）定期检查收入合同执行情况，加强往来款项的清理，对应收未收项目查明情况，落实催收责任，确保各项收入应收尽收，及时入账。</w:t>
      </w:r>
    </w:p>
    <w:p w:rsidR="00314632" w:rsidRDefault="00314632">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第五条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严格收入票据管理。财政票据、税务发票等各类票据的申领、启用、核销、销毁等，必须履行规定手续。收入票据应当按照顺序号使用，不得拆本使用，不得违反规定转让、出借、代开、买卖等，不得擅自扩大票据使用范围，</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做好废旧票据管理工作。</w:t>
      </w:r>
    </w:p>
    <w:p w:rsidR="00314632" w:rsidRDefault="00314632">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第六条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应确保收款、开票与会计核算岗位相互分离，</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收入和票据定期核对。</w:t>
      </w:r>
    </w:p>
    <w:p w:rsidR="00314632" w:rsidRDefault="00314632">
      <w:pPr>
        <w:spacing w:line="600" w:lineRule="exact"/>
        <w:jc w:val="center"/>
        <w:rPr>
          <w:rFonts w:ascii="黑体" w:eastAsia="黑体" w:hAnsi="黑体" w:cs="Times New Roman"/>
          <w:sz w:val="32"/>
          <w:szCs w:val="32"/>
        </w:rPr>
      </w:pPr>
      <w:r>
        <w:rPr>
          <w:rFonts w:ascii="黑体" w:eastAsia="黑体" w:hAnsi="黑体" w:cs="黑体" w:hint="eastAsia"/>
          <w:sz w:val="32"/>
          <w:szCs w:val="32"/>
        </w:rPr>
        <w:t>第三章</w:t>
      </w:r>
      <w:r>
        <w:rPr>
          <w:rFonts w:ascii="黑体" w:eastAsia="黑体" w:hAnsi="黑体" w:cs="黑体"/>
          <w:sz w:val="32"/>
          <w:szCs w:val="32"/>
        </w:rPr>
        <w:t xml:space="preserve">  </w:t>
      </w:r>
      <w:r>
        <w:rPr>
          <w:rFonts w:ascii="黑体" w:eastAsia="黑体" w:hAnsi="黑体" w:cs="黑体" w:hint="eastAsia"/>
          <w:sz w:val="32"/>
          <w:szCs w:val="32"/>
        </w:rPr>
        <w:t>支出管理</w:t>
      </w:r>
    </w:p>
    <w:p w:rsidR="00314632" w:rsidRDefault="00314632">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第七条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单位支出是指行政事业单位为保障机构正常运转和完成工作任务所发生的资金耗费和损失，包括经费支出和拨出经费。</w:t>
      </w:r>
    </w:p>
    <w:p w:rsidR="00314632" w:rsidRDefault="00314632">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第八条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加强预算管理。各项支出应全部纳入部门预算编制范围，并严格按照批复的预算执行。</w:t>
      </w:r>
    </w:p>
    <w:p w:rsidR="00314632" w:rsidRDefault="00314632">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第九条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明确审批权限。实行一支笔审批制度，所有支出由单位负责人审批。</w:t>
      </w:r>
    </w:p>
    <w:p w:rsidR="00314632" w:rsidRDefault="00314632">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第十条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支出事前申请。</w:t>
      </w:r>
    </w:p>
    <w:p w:rsidR="00314632" w:rsidRDefault="00314632">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（一）申请支出事项必须有预算指标，无指标或超指标的支出不能进行申请。</w:t>
      </w:r>
    </w:p>
    <w:p w:rsidR="00314632" w:rsidRDefault="00314632">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（二）申请支出科（室）凭依法取得的合法票据，报分管领导会签后，送财务审核，由办公室主任报主席审批。</w:t>
      </w:r>
    </w:p>
    <w:p w:rsidR="00314632" w:rsidRDefault="00314632">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第十一条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按照审核批准后的支付凭证支付款项，进行会计核算。出纳人员复核原始凭证和会计凭证，按照规定的资金支付方式进行资金支付。实行国库集中支付的，按照国库集中支付管理规定办理；使用公务卡结算的，按照公务卡使用管理规定办理业务，原则上不准使用现金支付。</w:t>
      </w:r>
    </w:p>
    <w:p w:rsidR="00314632" w:rsidRDefault="00314632">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第十二条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根据支出凭证及时准确登记账簿，进行会计核算。会计档案应按照有关规定妥善保管，严防毁损、散失、泄密或不当使用。</w:t>
      </w:r>
    </w:p>
    <w:p w:rsidR="00314632" w:rsidRDefault="00314632">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第十三条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对票据不合法、签批手续不规范、违反财务制度规定的，应当及时制止和纠正。制止和纠正无效的，应当向单位负责人或上级主管部门报告。</w:t>
      </w:r>
    </w:p>
    <w:p w:rsidR="00314632" w:rsidRDefault="00314632">
      <w:pPr>
        <w:spacing w:line="600" w:lineRule="exact"/>
        <w:jc w:val="center"/>
        <w:rPr>
          <w:rFonts w:ascii="仿宋_GB2312" w:eastAsia="仿宋_GB2312" w:hAnsi="仿宋_GB2312" w:cs="Times New Roman"/>
          <w:sz w:val="32"/>
          <w:szCs w:val="32"/>
        </w:rPr>
      </w:pPr>
      <w:r>
        <w:rPr>
          <w:rFonts w:ascii="黑体" w:eastAsia="黑体" w:hAnsi="黑体" w:cs="黑体" w:hint="eastAsia"/>
          <w:sz w:val="32"/>
          <w:szCs w:val="32"/>
        </w:rPr>
        <w:t>第四章</w:t>
      </w:r>
      <w:r>
        <w:rPr>
          <w:rFonts w:ascii="黑体" w:eastAsia="黑体" w:hAnsi="黑体" w:cs="黑体"/>
          <w:sz w:val="32"/>
          <w:szCs w:val="32"/>
        </w:rPr>
        <w:t xml:space="preserve">  </w:t>
      </w:r>
      <w:r>
        <w:rPr>
          <w:rFonts w:ascii="黑体" w:eastAsia="黑体" w:hAnsi="黑体" w:cs="黑体" w:hint="eastAsia"/>
          <w:sz w:val="32"/>
          <w:szCs w:val="32"/>
        </w:rPr>
        <w:t>附</w:t>
      </w:r>
      <w:r>
        <w:rPr>
          <w:rFonts w:ascii="黑体" w:eastAsia="黑体" w:hAnsi="黑体" w:cs="黑体"/>
          <w:sz w:val="32"/>
          <w:szCs w:val="32"/>
        </w:rPr>
        <w:t xml:space="preserve">  </w:t>
      </w:r>
      <w:r>
        <w:rPr>
          <w:rFonts w:ascii="黑体" w:eastAsia="黑体" w:hAnsi="黑体" w:cs="黑体" w:hint="eastAsia"/>
          <w:sz w:val="32"/>
          <w:szCs w:val="32"/>
        </w:rPr>
        <w:t>则</w:t>
      </w:r>
    </w:p>
    <w:p w:rsidR="00314632" w:rsidRDefault="00314632">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第十八条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本制度自</w:t>
      </w:r>
      <w:r>
        <w:rPr>
          <w:rFonts w:ascii="仿宋_GB2312" w:eastAsia="仿宋_GB2312" w:hAnsi="仿宋_GB2312" w:cs="仿宋_GB2312"/>
          <w:sz w:val="32"/>
          <w:szCs w:val="32"/>
        </w:rPr>
        <w:t>2017</w:t>
      </w:r>
      <w:bookmarkStart w:id="0" w:name="_GoBack"/>
      <w:bookmarkEnd w:id="0"/>
      <w:r>
        <w:rPr>
          <w:rFonts w:ascii="仿宋_GB2312" w:eastAsia="仿宋_GB2312" w:hAnsi="仿宋_GB2312" w:cs="仿宋_GB2312" w:hint="eastAsia"/>
          <w:sz w:val="32"/>
          <w:szCs w:val="32"/>
        </w:rPr>
        <w:t>年</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月</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日起施行。</w:t>
      </w:r>
    </w:p>
    <w:p w:rsidR="00314632" w:rsidRDefault="00314632">
      <w:pPr>
        <w:spacing w:line="600" w:lineRule="exact"/>
        <w:ind w:firstLineChars="200" w:firstLine="640"/>
        <w:rPr>
          <w:rFonts w:ascii="仿宋_GB2312" w:eastAsia="仿宋_GB2312" w:hAnsi="仿宋_GB2312" w:cs="Times New Roman"/>
          <w:sz w:val="32"/>
          <w:szCs w:val="32"/>
        </w:rPr>
      </w:pPr>
    </w:p>
    <w:p w:rsidR="00314632" w:rsidRDefault="00314632">
      <w:pPr>
        <w:spacing w:line="600" w:lineRule="exact"/>
        <w:ind w:firstLineChars="200" w:firstLine="640"/>
        <w:rPr>
          <w:rFonts w:ascii="仿宋_GB2312" w:eastAsia="仿宋_GB2312" w:hAnsi="仿宋_GB2312" w:cs="Times New Roman"/>
          <w:sz w:val="32"/>
          <w:szCs w:val="32"/>
        </w:rPr>
      </w:pPr>
    </w:p>
    <w:p w:rsidR="00314632" w:rsidRDefault="00314632">
      <w:pPr>
        <w:spacing w:line="600" w:lineRule="exact"/>
        <w:ind w:firstLineChars="200" w:firstLine="640"/>
        <w:rPr>
          <w:rFonts w:ascii="仿宋_GB2312" w:eastAsia="仿宋_GB2312" w:hAnsi="仿宋_GB2312" w:cs="Times New Roman"/>
          <w:sz w:val="32"/>
          <w:szCs w:val="32"/>
        </w:rPr>
      </w:pPr>
    </w:p>
    <w:p w:rsidR="00314632" w:rsidRDefault="00314632">
      <w:pPr>
        <w:spacing w:line="600" w:lineRule="exact"/>
        <w:ind w:firstLineChars="200" w:firstLine="640"/>
        <w:rPr>
          <w:rFonts w:ascii="仿宋_GB2312" w:eastAsia="仿宋_GB2312" w:hAnsi="仿宋_GB2312" w:cs="Times New Roman"/>
          <w:sz w:val="32"/>
          <w:szCs w:val="32"/>
        </w:rPr>
      </w:pPr>
    </w:p>
    <w:p w:rsidR="00314632" w:rsidRDefault="00314632">
      <w:pPr>
        <w:spacing w:line="600" w:lineRule="exact"/>
        <w:ind w:firstLineChars="200" w:firstLine="640"/>
        <w:rPr>
          <w:rFonts w:ascii="仿宋_GB2312" w:eastAsia="仿宋_GB2312" w:hAnsi="仿宋_GB2312" w:cs="Times New Roman"/>
          <w:sz w:val="32"/>
          <w:szCs w:val="32"/>
        </w:rPr>
      </w:pPr>
    </w:p>
    <w:p w:rsidR="00314632" w:rsidRDefault="00314632">
      <w:pPr>
        <w:spacing w:line="600" w:lineRule="exact"/>
        <w:ind w:firstLineChars="200" w:firstLine="640"/>
        <w:rPr>
          <w:rFonts w:ascii="仿宋_GB2312" w:eastAsia="仿宋_GB2312" w:hAnsi="仿宋_GB2312" w:cs="Times New Roman"/>
          <w:sz w:val="32"/>
          <w:szCs w:val="32"/>
        </w:rPr>
      </w:pPr>
    </w:p>
    <w:p w:rsidR="00314632" w:rsidRDefault="00314632">
      <w:pPr>
        <w:spacing w:line="600" w:lineRule="exact"/>
        <w:ind w:firstLineChars="200" w:firstLine="640"/>
        <w:rPr>
          <w:rFonts w:ascii="仿宋_GB2312" w:eastAsia="仿宋_GB2312" w:hAnsi="仿宋_GB2312" w:cs="Times New Roman"/>
          <w:sz w:val="32"/>
          <w:szCs w:val="32"/>
        </w:rPr>
      </w:pPr>
    </w:p>
    <w:p w:rsidR="00314632" w:rsidRDefault="00314632">
      <w:pPr>
        <w:spacing w:line="600" w:lineRule="exact"/>
        <w:ind w:firstLineChars="200" w:firstLine="640"/>
        <w:rPr>
          <w:rFonts w:ascii="仿宋_GB2312" w:eastAsia="仿宋_GB2312" w:hAnsi="仿宋_GB2312" w:cs="Times New Roman"/>
          <w:sz w:val="32"/>
          <w:szCs w:val="32"/>
        </w:rPr>
      </w:pPr>
    </w:p>
    <w:p w:rsidR="00314632" w:rsidRDefault="00314632">
      <w:pPr>
        <w:spacing w:line="600" w:lineRule="exact"/>
        <w:ind w:firstLineChars="200" w:firstLine="640"/>
        <w:rPr>
          <w:rFonts w:ascii="仿宋_GB2312" w:eastAsia="仿宋_GB2312" w:hAnsi="仿宋_GB2312" w:cs="Times New Roman"/>
          <w:sz w:val="32"/>
          <w:szCs w:val="32"/>
        </w:rPr>
      </w:pPr>
    </w:p>
    <w:p w:rsidR="00314632" w:rsidRDefault="00314632">
      <w:pPr>
        <w:spacing w:line="600" w:lineRule="exact"/>
        <w:ind w:firstLineChars="200" w:firstLine="640"/>
        <w:rPr>
          <w:rFonts w:ascii="仿宋_GB2312" w:eastAsia="仿宋_GB2312" w:hAnsi="仿宋_GB2312" w:cs="Times New Roman"/>
          <w:sz w:val="32"/>
          <w:szCs w:val="32"/>
        </w:rPr>
      </w:pPr>
    </w:p>
    <w:p w:rsidR="00314632" w:rsidRDefault="00314632">
      <w:pPr>
        <w:spacing w:line="600" w:lineRule="exact"/>
        <w:ind w:firstLineChars="200" w:firstLine="640"/>
        <w:rPr>
          <w:rFonts w:ascii="仿宋_GB2312" w:eastAsia="仿宋_GB2312" w:hAnsi="仿宋_GB2312" w:cs="Times New Roman"/>
          <w:sz w:val="32"/>
          <w:szCs w:val="32"/>
        </w:rPr>
      </w:pPr>
    </w:p>
    <w:p w:rsidR="00314632" w:rsidRDefault="00314632">
      <w:pPr>
        <w:rPr>
          <w:rFonts w:cs="Times New Roman"/>
        </w:rPr>
      </w:pPr>
    </w:p>
    <w:sectPr w:rsidR="00314632" w:rsidSect="00193B8B">
      <w:footerReference w:type="default" r:id="rId6"/>
      <w:pgSz w:w="11906" w:h="16838"/>
      <w:pgMar w:top="1440" w:right="1588" w:bottom="1440"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4632" w:rsidRDefault="00314632" w:rsidP="000B436D">
      <w:pPr>
        <w:rPr>
          <w:rFonts w:cs="Times New Roman"/>
        </w:rPr>
      </w:pPr>
      <w:r>
        <w:rPr>
          <w:rFonts w:cs="Times New Roman"/>
        </w:rPr>
        <w:separator/>
      </w:r>
    </w:p>
  </w:endnote>
  <w:endnote w:type="continuationSeparator" w:id="0">
    <w:p w:rsidR="00314632" w:rsidRDefault="00314632" w:rsidP="000B436D">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es New Roma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um"/>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632" w:rsidRDefault="00314632">
    <w:pPr>
      <w:pStyle w:val="Footer"/>
      <w:rPr>
        <w:rFonts w:cs="Times New Roman"/>
      </w:rPr>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251660288;mso-wrap-style:none;mso-position-horizontal:center;mso-position-horizontal-relative:margin" filled="f" stroked="f" strokeweight=".5pt">
          <v:textbox style="mso-fit-shape-to-text:t" inset="0,0,0,0">
            <w:txbxContent>
              <w:p w:rsidR="00314632" w:rsidRDefault="00314632">
                <w:pPr>
                  <w:snapToGrid w:val="0"/>
                  <w:rPr>
                    <w:rFonts w:cs="Times New Roman"/>
                    <w:sz w:val="18"/>
                    <w:szCs w:val="18"/>
                  </w:rPr>
                </w:pPr>
                <w:fldSimple w:instr=" PAGE  \* MERGEFORMAT ">
                  <w:r w:rsidRPr="00A52712">
                    <w:rPr>
                      <w:noProof/>
                      <w:sz w:val="18"/>
                      <w:szCs w:val="18"/>
                    </w:rPr>
                    <w:t>3</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4632" w:rsidRDefault="00314632" w:rsidP="000B436D">
      <w:pPr>
        <w:rPr>
          <w:rFonts w:cs="Times New Roman"/>
        </w:rPr>
      </w:pPr>
      <w:r>
        <w:rPr>
          <w:rFonts w:cs="Times New Roman"/>
        </w:rPr>
        <w:separator/>
      </w:r>
    </w:p>
  </w:footnote>
  <w:footnote w:type="continuationSeparator" w:id="0">
    <w:p w:rsidR="00314632" w:rsidRDefault="00314632" w:rsidP="000B436D">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436D"/>
    <w:rsid w:val="000B436D"/>
    <w:rsid w:val="00193B8B"/>
    <w:rsid w:val="00314632"/>
    <w:rsid w:val="0042208F"/>
    <w:rsid w:val="00A52712"/>
    <w:rsid w:val="00A83B87"/>
    <w:rsid w:val="00F51745"/>
    <w:rsid w:val="66703492"/>
    <w:rsid w:val="75E6593D"/>
    <w:rsid w:val="763818E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36D"/>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B436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CF3633"/>
    <w:rPr>
      <w:rFonts w:cs="Calibri"/>
      <w:sz w:val="18"/>
      <w:szCs w:val="18"/>
    </w:rPr>
  </w:style>
  <w:style w:type="paragraph" w:styleId="Header">
    <w:name w:val="header"/>
    <w:basedOn w:val="Normal"/>
    <w:link w:val="HeaderChar"/>
    <w:uiPriority w:val="99"/>
    <w:rsid w:val="000B436D"/>
    <w:pPr>
      <w:pBdr>
        <w:top w:val="none" w:sz="0" w:space="1" w:color="auto"/>
        <w:left w:val="none" w:sz="0" w:space="4" w:color="auto"/>
        <w:bottom w:val="none" w:sz="0" w:space="1" w:color="auto"/>
        <w:right w:val="none" w:sz="0" w:space="4" w:color="auto"/>
      </w:pBdr>
      <w:tabs>
        <w:tab w:val="center" w:pos="4153"/>
        <w:tab w:val="right" w:pos="8306"/>
      </w:tabs>
      <w:snapToGrid w:val="0"/>
    </w:pPr>
    <w:rPr>
      <w:sz w:val="18"/>
      <w:szCs w:val="18"/>
    </w:rPr>
  </w:style>
  <w:style w:type="character" w:customStyle="1" w:styleId="HeaderChar">
    <w:name w:val="Header Char"/>
    <w:basedOn w:val="DefaultParagraphFont"/>
    <w:link w:val="Header"/>
    <w:uiPriority w:val="99"/>
    <w:semiHidden/>
    <w:rsid w:val="00CF3633"/>
    <w:rPr>
      <w:rFonts w:cs="Calibr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3</Pages>
  <Words>168</Words>
  <Characters>961</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4</cp:revision>
  <dcterms:created xsi:type="dcterms:W3CDTF">2014-10-29T12:08:00Z</dcterms:created>
  <dcterms:modified xsi:type="dcterms:W3CDTF">2018-02-26T08:32:00Z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2052-10.1.0.6874</vt:lpwstr>
  </property>
</Properties>
</file>